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361" w:lineRule="exact" w:before="0"/>
        <w:ind w:left="109" w:right="0" w:firstLine="0"/>
        <w:jc w:val="left"/>
        <w:rPr>
          <w:rFonts w:ascii="宋体" w:eastAsia="宋体" w:hint="eastAsia"/>
          <w:sz w:val="110"/>
        </w:rPr>
      </w:pPr>
      <w:r>
        <w:rPr>
          <w:rFonts w:ascii="Times New Roman" w:eastAsia="Times New Roman"/>
          <w:color w:val="FF0000"/>
          <w:spacing w:val="-192"/>
          <w:w w:val="69"/>
          <w:sz w:val="110"/>
          <w:u w:val="double" w:color="FF0000"/>
        </w:rPr>
        <w:t> </w:t>
      </w:r>
      <w:r>
        <w:rPr>
          <w:rFonts w:ascii="宋体" w:eastAsia="宋体" w:hint="eastAsia"/>
          <w:color w:val="FF0000"/>
          <w:spacing w:val="30"/>
          <w:w w:val="65"/>
          <w:sz w:val="110"/>
          <w:u w:val="double" w:color="FF0000"/>
        </w:rPr>
        <w:t>湖南省学生资助管理中心</w:t>
      </w:r>
      <w:r>
        <w:rPr>
          <w:rFonts w:ascii="宋体" w:eastAsia="宋体" w:hint="eastAsia"/>
          <w:color w:val="FF0000"/>
          <w:w w:val="65"/>
          <w:sz w:val="110"/>
        </w:rPr>
        <w:t> </w:t>
      </w:r>
    </w:p>
    <w:p>
      <w:pPr>
        <w:pStyle w:val="BodyText"/>
        <w:spacing w:before="9"/>
        <w:rPr>
          <w:rFonts w:ascii="宋体"/>
          <w:sz w:val="9"/>
        </w:rPr>
      </w:pPr>
    </w:p>
    <w:p>
      <w:pPr>
        <w:pStyle w:val="BodyText"/>
        <w:spacing w:before="55"/>
        <w:ind w:left="5995"/>
      </w:pPr>
      <w:r>
        <w:rPr/>
        <w:t>湘学助〔2019〕11</w:t>
      </w:r>
      <w:r>
        <w:rPr>
          <w:spacing w:val="-43"/>
        </w:rPr>
        <w:t> 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91.463997pt;margin-top:11.160608pt;width:440.2pt;height:53.2pt;mso-position-horizontal-relative:page;mso-position-vertical-relative:paragraph;z-index:-251658240;mso-wrap-distance-left:0;mso-wrap-distance-right:0" coordorigin="1829,223" coordsize="8804,1064">
            <v:shape style="position:absolute;left:1829;top:223;width:8804;height:502" type="#_x0000_t75" stroked="false">
              <v:imagedata r:id="rId5" o:title=""/>
            </v:shape>
            <v:shape style="position:absolute;left:4030;top:784;width:4401;height:502" type="#_x0000_t75" stroked="false">
              <v:imagedata r:id="rId6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54"/>
        <w:ind w:left="109"/>
      </w:pPr>
      <w:r>
        <w:rPr>
          <w:color w:val="2C2C2C"/>
        </w:rPr>
        <w:t>各普通高等学校学生资助管理中心：</w:t>
      </w:r>
    </w:p>
    <w:p>
      <w:pPr>
        <w:pStyle w:val="BodyText"/>
        <w:spacing w:line="328" w:lineRule="auto" w:before="152"/>
        <w:ind w:left="109" w:right="451" w:firstLine="640"/>
        <w:jc w:val="both"/>
      </w:pPr>
      <w:r>
        <w:rPr>
          <w:color w:val="2C2C2C"/>
        </w:rPr>
        <w:t>为全面贯彻落实中央和</w:t>
      </w:r>
      <w:r>
        <w:rPr>
          <w:spacing w:val="-9"/>
        </w:rPr>
        <w:t>省委省政府脱贫攻坚战略部署，</w:t>
      </w:r>
      <w:r>
        <w:rPr>
          <w:color w:val="2C2C2C"/>
          <w:spacing w:val="-7"/>
        </w:rPr>
        <w:t>进一</w:t>
      </w:r>
      <w:r>
        <w:rPr>
          <w:color w:val="2C2C2C"/>
          <w:spacing w:val="-6"/>
        </w:rPr>
        <w:t>步做好全省普通高校建档立卡等家庭经济困难学生资助工作，确</w:t>
      </w:r>
      <w:r>
        <w:rPr>
          <w:color w:val="2C2C2C"/>
        </w:rPr>
        <w:t>保建档立卡等家庭经济困难学生全面享受资助政策,请各高校认</w:t>
      </w:r>
      <w:r>
        <w:rPr>
          <w:color w:val="2C2C2C"/>
          <w:spacing w:val="-7"/>
        </w:rPr>
        <w:t>真开展建档立卡等家庭经济困难学生摸底工作。现将有关要求通</w:t>
      </w:r>
      <w:r>
        <w:rPr>
          <w:color w:val="2C2C2C"/>
        </w:rPr>
        <w:t>知如下：</w:t>
      </w:r>
    </w:p>
    <w:p>
      <w:pPr>
        <w:pStyle w:val="BodyText"/>
        <w:spacing w:line="328" w:lineRule="auto"/>
        <w:ind w:left="109" w:right="290" w:firstLine="640"/>
      </w:pPr>
      <w:r>
        <w:rPr>
          <w:rFonts w:ascii="黑体" w:eastAsia="黑体" w:hint="eastAsia"/>
          <w:color w:val="2C2C2C"/>
        </w:rPr>
        <w:t>一、认真调查摸底。</w:t>
      </w:r>
      <w:r>
        <w:rPr>
          <w:color w:val="2C2C2C"/>
        </w:rPr>
        <w:t>各高校要适应新时代资助工作新要求， </w:t>
      </w:r>
      <w:r>
        <w:rPr>
          <w:color w:val="2C2C2C"/>
          <w:spacing w:val="-14"/>
        </w:rPr>
        <w:t>修订完善家庭经济困难学生的认定办法，通过走访、大数据分析、</w:t>
      </w:r>
      <w:r>
        <w:rPr>
          <w:color w:val="2C2C2C"/>
          <w:spacing w:val="-10"/>
        </w:rPr>
        <w:t>信息比对等形式，对建档立卡家庭经济困难学生、农村低保家庭</w:t>
      </w:r>
      <w:r>
        <w:rPr>
          <w:color w:val="2C2C2C"/>
          <w:spacing w:val="-13"/>
        </w:rPr>
        <w:t>学生、农村特困救助供养学生、孤残学生、烈士子女以及家庭遭</w:t>
      </w:r>
      <w:r>
        <w:rPr>
          <w:color w:val="2C2C2C"/>
          <w:spacing w:val="-17"/>
        </w:rPr>
        <w:t>遇自然灾害或突发事件等七类情况的学生进行全面摸底排查，澄</w:t>
      </w:r>
      <w:r>
        <w:rPr>
          <w:color w:val="2C2C2C"/>
          <w:spacing w:val="-13"/>
        </w:rPr>
        <w:t>清底子，并全部纳入本校家庭经济困难学生信息库，避免出现遗</w:t>
      </w:r>
      <w:r>
        <w:rPr>
          <w:color w:val="2C2C2C"/>
          <w:spacing w:val="-14"/>
        </w:rPr>
        <w:t>漏现象。今后省中心对这项工作实行动态管理，学校每学期都应</w:t>
      </w:r>
      <w:r>
        <w:rPr>
          <w:color w:val="2C2C2C"/>
          <w:spacing w:val="-18"/>
        </w:rPr>
        <w:t>对本校学生家庭情况进行调查摸底，及时更新建档立卡等家庭经济困难学生信息，并将变更情况上报省中心。</w:t>
      </w:r>
    </w:p>
    <w:p>
      <w:pPr>
        <w:pStyle w:val="BodyText"/>
        <w:spacing w:line="395" w:lineRule="exact"/>
        <w:ind w:left="750"/>
      </w:pPr>
      <w:r>
        <w:rPr>
          <w:rFonts w:ascii="黑体" w:eastAsia="黑体" w:hint="eastAsia"/>
          <w:color w:val="2C2C2C"/>
        </w:rPr>
        <w:t>二、明确重点资助对象。</w:t>
      </w:r>
      <w:r>
        <w:rPr>
          <w:color w:val="2C2C2C"/>
        </w:rPr>
        <w:t>各高校要加大对建档立卡等家庭经</w:t>
      </w:r>
    </w:p>
    <w:p>
      <w:pPr>
        <w:spacing w:after="0" w:line="395" w:lineRule="exact"/>
        <w:sectPr>
          <w:type w:val="continuous"/>
          <w:pgSz w:w="11910" w:h="16840"/>
          <w:pgMar w:top="1580" w:bottom="280" w:left="1480" w:right="1020"/>
        </w:sectPr>
      </w:pPr>
    </w:p>
    <w:p>
      <w:pPr>
        <w:pStyle w:val="BodyText"/>
        <w:spacing w:line="328" w:lineRule="auto" w:before="24"/>
        <w:ind w:left="109" w:right="453"/>
        <w:jc w:val="both"/>
      </w:pPr>
      <w:r>
        <w:rPr>
          <w:color w:val="2C2C2C"/>
          <w:spacing w:val="-12"/>
        </w:rPr>
        <w:t>济困难学生的资助力度，把建档立卡等七类学生作为重点资助对</w:t>
      </w:r>
      <w:r>
        <w:rPr>
          <w:color w:val="2C2C2C"/>
          <w:spacing w:val="-13"/>
        </w:rPr>
        <w:t>象。根据省委、省政府脱贫攻坚要求，首先要确保建档立卡家庭</w:t>
      </w:r>
      <w:r>
        <w:rPr>
          <w:color w:val="2C2C2C"/>
          <w:spacing w:val="-12"/>
        </w:rPr>
        <w:t>经济困难学生、农村低保家庭学生、农村特困救助供养学生、烈</w:t>
      </w:r>
      <w:r>
        <w:rPr>
          <w:color w:val="2C2C2C"/>
          <w:spacing w:val="-11"/>
        </w:rPr>
        <w:t>士子女、孤残学生按照最高档次或标准发放国家助学金；家庭遭</w:t>
      </w:r>
      <w:r>
        <w:rPr>
          <w:color w:val="2C2C2C"/>
          <w:spacing w:val="6"/>
          <w:w w:val="95"/>
        </w:rPr>
        <w:t>遇自然灾害或突发事件的学生原则上也要按照最高档次或标准 </w:t>
      </w:r>
      <w:r>
        <w:rPr>
          <w:color w:val="2C2C2C"/>
          <w:spacing w:val="6"/>
        </w:rPr>
        <w:t>发放国家助学金。</w:t>
      </w:r>
    </w:p>
    <w:p>
      <w:pPr>
        <w:pStyle w:val="BodyText"/>
        <w:spacing w:line="328" w:lineRule="auto"/>
        <w:ind w:left="109" w:right="451" w:firstLine="640"/>
        <w:jc w:val="both"/>
      </w:pPr>
      <w:r>
        <w:rPr>
          <w:rFonts w:ascii="黑体" w:eastAsia="黑体" w:hint="eastAsia"/>
          <w:color w:val="2C2C2C"/>
          <w:spacing w:val="-14"/>
        </w:rPr>
        <w:t>三、加强政策宣传。</w:t>
      </w:r>
      <w:r>
        <w:rPr>
          <w:color w:val="2C2C2C"/>
          <w:spacing w:val="-1"/>
        </w:rPr>
        <w:t>各高校要重点针对本校建档立卡家庭经</w:t>
      </w:r>
      <w:r>
        <w:rPr>
          <w:color w:val="2C2C2C"/>
          <w:spacing w:val="-11"/>
        </w:rPr>
        <w:t>济困难学生、农村低保家庭学生、农村特困救助供养学生、孤残</w:t>
      </w:r>
      <w:r>
        <w:rPr>
          <w:color w:val="2C2C2C"/>
          <w:spacing w:val="-12"/>
        </w:rPr>
        <w:t>学生、烈士子女以及家庭遭遇自然灾害或突发事件等特殊情况学</w:t>
      </w:r>
      <w:r>
        <w:rPr>
          <w:color w:val="2C2C2C"/>
          <w:spacing w:val="-10"/>
        </w:rPr>
        <w:t>生进行资助政策宣传和解读，指导他们按规定要求和程序申请资</w:t>
      </w:r>
      <w:r>
        <w:rPr>
          <w:color w:val="2C2C2C"/>
        </w:rPr>
        <w:t>助。</w:t>
      </w:r>
    </w:p>
    <w:p>
      <w:pPr>
        <w:pStyle w:val="BodyText"/>
        <w:spacing w:line="328" w:lineRule="auto"/>
        <w:ind w:left="109" w:right="447" w:firstLine="640"/>
        <w:jc w:val="right"/>
      </w:pPr>
      <w:r>
        <w:rPr>
          <w:rFonts w:ascii="黑体" w:hAnsi="黑体" w:eastAsia="黑体" w:hint="eastAsia"/>
          <w:color w:val="2C2C2C"/>
          <w:spacing w:val="-14"/>
          <w:w w:val="95"/>
        </w:rPr>
        <w:t>四、准确统计信息。</w:t>
      </w:r>
      <w:r>
        <w:rPr>
          <w:color w:val="2C2C2C"/>
          <w:w w:val="95"/>
        </w:rPr>
        <w:t>本次调查摸底是全面准确掌握我省高校 </w:t>
      </w:r>
      <w:r>
        <w:rPr>
          <w:color w:val="2C2C2C"/>
          <w:spacing w:val="-6"/>
          <w:w w:val="95"/>
        </w:rPr>
        <w:t>建档立卡等家庭经济困难学生的基本信息、做好教育扶贫和精准 </w:t>
      </w:r>
      <w:r>
        <w:rPr>
          <w:color w:val="2C2C2C"/>
          <w:spacing w:val="-13"/>
          <w:w w:val="95"/>
        </w:rPr>
        <w:t>资助工作的基础，各高校要坚持实事求是原则，按要求认真填写 </w:t>
      </w:r>
      <w:r>
        <w:rPr>
          <w:color w:val="2C2C2C"/>
          <w:spacing w:val="-13"/>
        </w:rPr>
        <w:t>“建档立卡等家庭经济困难学生摸底表”</w:t>
      </w:r>
      <w:r>
        <w:rPr>
          <w:color w:val="2C2C2C"/>
          <w:spacing w:val="-7"/>
        </w:rPr>
        <w:t>（</w:t>
      </w:r>
      <w:r>
        <w:rPr>
          <w:color w:val="2C2C2C"/>
          <w:spacing w:val="-22"/>
        </w:rPr>
        <w:t>见附件 </w:t>
      </w:r>
      <w:r>
        <w:rPr>
          <w:color w:val="2C2C2C"/>
          <w:spacing w:val="-4"/>
        </w:rPr>
        <w:t>1）</w:t>
      </w:r>
      <w:r>
        <w:rPr>
          <w:color w:val="2C2C2C"/>
          <w:spacing w:val="-5"/>
        </w:rPr>
        <w:t>、“建档</w:t>
      </w:r>
      <w:r>
        <w:rPr>
          <w:color w:val="2C2C2C"/>
          <w:spacing w:val="-8"/>
        </w:rPr>
        <w:t>立卡等家庭经济困难学生名单汇总表”</w:t>
      </w:r>
      <w:r>
        <w:rPr>
          <w:color w:val="2C2C2C"/>
          <w:spacing w:val="-39"/>
        </w:rPr>
        <w:t>（</w:t>
      </w:r>
      <w:r>
        <w:rPr>
          <w:color w:val="2C2C2C"/>
          <w:spacing w:val="-22"/>
        </w:rPr>
        <w:t>见附件 </w:t>
      </w:r>
      <w:r>
        <w:rPr>
          <w:color w:val="2C2C2C"/>
        </w:rPr>
        <w:t>2</w:t>
      </w:r>
      <w:r>
        <w:rPr>
          <w:color w:val="2C2C2C"/>
          <w:spacing w:val="-36"/>
        </w:rPr>
        <w:t>、</w:t>
      </w:r>
      <w:r>
        <w:rPr>
          <w:color w:val="2C2C2C"/>
          <w:spacing w:val="-27"/>
        </w:rPr>
        <w:t>3），</w:t>
      </w:r>
      <w:r>
        <w:rPr>
          <w:color w:val="2C2C2C"/>
        </w:rPr>
        <w:t>做到不</w:t>
      </w:r>
      <w:r>
        <w:rPr>
          <w:color w:val="2C2C2C"/>
          <w:spacing w:val="-23"/>
          <w:w w:val="95"/>
        </w:rPr>
        <w:t>误报、不漏报、不瞒报、不虚报，确保填报数据真实、信息准确。 </w:t>
      </w:r>
      <w:r>
        <w:rPr>
          <w:rFonts w:ascii="黑体" w:hAnsi="黑体" w:eastAsia="黑体" w:hint="eastAsia"/>
          <w:color w:val="2C2C2C"/>
        </w:rPr>
        <w:t>五</w:t>
      </w:r>
      <w:r>
        <w:rPr>
          <w:rFonts w:ascii="黑体" w:hAnsi="黑体" w:eastAsia="黑体" w:hint="eastAsia"/>
          <w:color w:val="2C2C2C"/>
          <w:spacing w:val="-3"/>
        </w:rPr>
        <w:t>、及时上报材料。</w:t>
      </w:r>
      <w:r>
        <w:rPr>
          <w:color w:val="2C2C2C"/>
        </w:rPr>
        <w:t>5</w:t>
      </w:r>
      <w:r>
        <w:rPr>
          <w:color w:val="2C2C2C"/>
          <w:spacing w:val="-54"/>
        </w:rPr>
        <w:t> 月 </w:t>
      </w:r>
      <w:r>
        <w:rPr>
          <w:color w:val="2C2C2C"/>
        </w:rPr>
        <w:t>16</w:t>
      </w:r>
      <w:r>
        <w:rPr>
          <w:color w:val="2C2C2C"/>
          <w:spacing w:val="-18"/>
        </w:rPr>
        <w:t> 日前，请各校将附件 </w:t>
      </w:r>
      <w:r>
        <w:rPr>
          <w:color w:val="2C2C2C"/>
        </w:rPr>
        <w:t>1</w:t>
      </w:r>
      <w:r>
        <w:rPr>
          <w:color w:val="2C2C2C"/>
          <w:spacing w:val="-21"/>
        </w:rPr>
        <w:t> 的电子</w:t>
      </w:r>
    </w:p>
    <w:p>
      <w:pPr>
        <w:pStyle w:val="BodyText"/>
        <w:spacing w:line="328" w:lineRule="auto"/>
        <w:ind w:left="109" w:right="448"/>
        <w:jc w:val="both"/>
      </w:pPr>
      <w:r>
        <w:rPr>
          <w:color w:val="2C2C2C"/>
        </w:rPr>
        <w:t>档及加盖学校公章后的扫描件(必须是学校行政公章，不能用学</w:t>
      </w:r>
      <w:r>
        <w:rPr>
          <w:color w:val="2C2C2C"/>
          <w:spacing w:val="42"/>
        </w:rPr>
        <w:t>工部等部门公章) 、附件 </w:t>
      </w:r>
      <w:r>
        <w:rPr>
          <w:color w:val="2C2C2C"/>
        </w:rPr>
        <w:t>2</w:t>
      </w:r>
      <w:r>
        <w:rPr>
          <w:color w:val="2C2C2C"/>
          <w:spacing w:val="19"/>
        </w:rPr>
        <w:t> 、附件 </w:t>
      </w:r>
      <w:r>
        <w:rPr>
          <w:color w:val="2C2C2C"/>
        </w:rPr>
        <w:t>3</w:t>
      </w:r>
      <w:r>
        <w:rPr>
          <w:color w:val="2C2C2C"/>
          <w:spacing w:val="57"/>
        </w:rPr>
        <w:t> 的电子档发送至</w:t>
      </w:r>
      <w:hyperlink r:id="rId7">
        <w:r>
          <w:rPr>
            <w:color w:val="2C2C2C"/>
            <w:spacing w:val="57"/>
          </w:rPr>
          <w:t>hnxszz@163.com</w:t>
        </w:r>
      </w:hyperlink>
      <w:r>
        <w:rPr>
          <w:color w:val="2C2C2C"/>
          <w:spacing w:val="57"/>
        </w:rPr>
        <w:t>。</w:t>
      </w:r>
    </w:p>
    <w:p>
      <w:pPr>
        <w:pStyle w:val="BodyText"/>
        <w:spacing w:line="328" w:lineRule="auto"/>
        <w:ind w:left="109" w:right="454" w:firstLine="787"/>
        <w:jc w:val="both"/>
      </w:pPr>
      <w:r>
        <w:rPr>
          <w:rFonts w:ascii="黑体" w:eastAsia="黑体" w:hint="eastAsia"/>
          <w:color w:val="2C2C2C"/>
        </w:rPr>
        <w:t>六、做好资料归档。</w:t>
      </w:r>
      <w:r>
        <w:rPr>
          <w:color w:val="2C2C2C"/>
        </w:rPr>
        <w:t>各高校要将建档立卡等家庭经济困难</w:t>
      </w:r>
      <w:r>
        <w:rPr>
          <w:color w:val="2C2C2C"/>
          <w:spacing w:val="-9"/>
        </w:rPr>
        <w:t>学生调查摸底资料整理归档，妥善保存，便于相关部门的查阅和</w:t>
      </w:r>
      <w:r>
        <w:rPr>
          <w:color w:val="2C2C2C"/>
        </w:rPr>
        <w:t>相关检查。</w:t>
      </w:r>
    </w:p>
    <w:p>
      <w:pPr>
        <w:spacing w:after="0" w:line="328" w:lineRule="auto"/>
        <w:jc w:val="both"/>
        <w:sectPr>
          <w:pgSz w:w="11910" w:h="16840"/>
          <w:pgMar w:top="1560" w:bottom="280" w:left="148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5"/>
        <w:ind w:left="750"/>
      </w:pPr>
      <w:r>
        <w:rPr>
          <w:color w:val="2C2C2C"/>
        </w:rPr>
        <w:t>附件：1.建档立卡等家庭经济困难学生摸底表</w:t>
      </w:r>
    </w:p>
    <w:p>
      <w:pPr>
        <w:pStyle w:val="ListParagraph"/>
        <w:numPr>
          <w:ilvl w:val="0"/>
          <w:numId w:val="1"/>
        </w:numPr>
        <w:tabs>
          <w:tab w:pos="2030" w:val="left" w:leader="none"/>
        </w:tabs>
        <w:spacing w:line="326" w:lineRule="auto" w:before="151" w:after="0"/>
        <w:ind w:left="2187" w:right="454" w:hanging="478"/>
        <w:jc w:val="left"/>
        <w:rPr>
          <w:sz w:val="32"/>
        </w:rPr>
      </w:pPr>
      <w:r>
        <w:rPr>
          <w:color w:val="2C2C2C"/>
          <w:spacing w:val="-7"/>
          <w:sz w:val="32"/>
        </w:rPr>
        <w:t>建档立卡等家庭经济困难学生名单汇总表</w:t>
      </w:r>
      <w:r>
        <w:rPr>
          <w:color w:val="2C2C2C"/>
          <w:sz w:val="32"/>
        </w:rPr>
        <w:t>（</w:t>
      </w:r>
      <w:r>
        <w:rPr>
          <w:color w:val="2C2C2C"/>
          <w:spacing w:val="-5"/>
          <w:sz w:val="32"/>
        </w:rPr>
        <w:t>本专科</w:t>
      </w:r>
      <w:r>
        <w:rPr>
          <w:color w:val="2C2C2C"/>
          <w:sz w:val="32"/>
        </w:rPr>
        <w:t>生）</w:t>
      </w:r>
    </w:p>
    <w:p>
      <w:pPr>
        <w:pStyle w:val="ListParagraph"/>
        <w:numPr>
          <w:ilvl w:val="0"/>
          <w:numId w:val="1"/>
        </w:numPr>
        <w:tabs>
          <w:tab w:pos="2030" w:val="left" w:leader="none"/>
        </w:tabs>
        <w:spacing w:line="240" w:lineRule="auto" w:before="3" w:after="0"/>
        <w:ind w:left="2029" w:right="0" w:hanging="320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251591680">
            <wp:simplePos x="0" y="0"/>
            <wp:positionH relativeFrom="page">
              <wp:posOffset>4125819</wp:posOffset>
            </wp:positionH>
            <wp:positionV relativeFrom="paragraph">
              <wp:posOffset>445247</wp:posOffset>
            </wp:positionV>
            <wp:extent cx="1761244" cy="197379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244" cy="197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  <w:spacing w:val="-7"/>
          <w:sz w:val="32"/>
        </w:rPr>
        <w:t>建档立卡等家庭经济困难学生名单汇总表</w:t>
      </w:r>
      <w:r>
        <w:rPr>
          <w:color w:val="2C2C2C"/>
          <w:sz w:val="32"/>
        </w:rPr>
        <w:t>（研究生）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ind w:left="4429"/>
      </w:pPr>
      <w:r>
        <w:rPr/>
        <w:t>湖南省学生资助管理中心</w:t>
      </w:r>
    </w:p>
    <w:p>
      <w:pPr>
        <w:pStyle w:val="BodyText"/>
        <w:spacing w:before="150"/>
        <w:ind w:left="5070"/>
        <w:rPr>
          <w:rFonts w:ascii="仿宋" w:eastAsia="仿宋" w:hint="eastAsia"/>
        </w:rPr>
      </w:pPr>
      <w:r>
        <w:rPr>
          <w:rFonts w:ascii="仿宋" w:eastAsia="仿宋" w:hint="eastAsia"/>
          <w:color w:val="2C2C2C"/>
        </w:rPr>
        <w:t>2019</w:t>
      </w:r>
      <w:r>
        <w:rPr>
          <w:rFonts w:ascii="仿宋" w:eastAsia="仿宋" w:hint="eastAsia"/>
          <w:color w:val="2C2C2C"/>
          <w:spacing w:val="-54"/>
        </w:rPr>
        <w:t> 年 </w:t>
      </w:r>
      <w:r>
        <w:rPr>
          <w:rFonts w:ascii="仿宋" w:eastAsia="仿宋" w:hint="eastAsia"/>
          <w:color w:val="2C2C2C"/>
        </w:rPr>
        <w:t>4</w:t>
      </w:r>
      <w:r>
        <w:rPr>
          <w:rFonts w:ascii="仿宋" w:eastAsia="仿宋" w:hint="eastAsia"/>
          <w:color w:val="2C2C2C"/>
          <w:spacing w:val="-54"/>
        </w:rPr>
        <w:t> 月 </w:t>
      </w:r>
      <w:r>
        <w:rPr>
          <w:rFonts w:ascii="仿宋" w:eastAsia="仿宋" w:hint="eastAsia"/>
          <w:color w:val="2C2C2C"/>
        </w:rPr>
        <w:t>15</w:t>
      </w:r>
      <w:r>
        <w:rPr>
          <w:rFonts w:ascii="仿宋" w:eastAsia="仿宋" w:hint="eastAsia"/>
          <w:color w:val="2C2C2C"/>
          <w:spacing w:val="-41"/>
        </w:rPr>
        <w:t> 日</w:t>
      </w:r>
    </w:p>
    <w:sectPr>
      <w:pgSz w:w="11910" w:h="16840"/>
      <w:pgMar w:top="1580" w:bottom="280" w:left="14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187" w:hanging="320"/>
        <w:jc w:val="left"/>
      </w:pPr>
      <w:rPr>
        <w:rFonts w:hint="default" w:ascii="仿宋_GB2312" w:hAnsi="仿宋_GB2312" w:eastAsia="仿宋_GB2312" w:cs="仿宋_GB2312"/>
        <w:color w:val="2C2C2C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902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625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347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70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793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15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38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61" w:hanging="3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3"/>
      <w:ind w:left="2029" w:hanging="478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nxszz@163.com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2019-04-22T10:45:24Z</dcterms:created>
  <dcterms:modified xsi:type="dcterms:W3CDTF">2019-04-22T10:45:24Z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2019-04-22T00:00:00Z</vt:filetime>
  </property>
</Properties>
</file>